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交易平台投标保证金操作手册</w:t>
      </w:r>
    </w:p>
    <w:p>
      <w:pPr>
        <w:numPr>
          <w:ilvl w:val="0"/>
          <w:numId w:val="0"/>
        </w:numPr>
        <w:rPr>
          <w:rFonts w:hint="default" w:eastAsiaTheme="minorEastAsia"/>
          <w:sz w:val="24"/>
          <w:szCs w:val="32"/>
          <w:lang w:val="en-US" w:eastAsia="zh-CN"/>
        </w:rPr>
      </w:pPr>
    </w:p>
    <w:p>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投标人登录</w:t>
      </w:r>
    </w:p>
    <w:p>
      <w:pPr>
        <w:numPr>
          <w:ilvl w:val="0"/>
          <w:numId w:val="0"/>
        </w:numPr>
        <w:rPr>
          <w:rFonts w:hint="default" w:ascii="仿宋" w:hAnsi="仿宋" w:eastAsia="仿宋" w:cs="仿宋"/>
          <w:sz w:val="28"/>
          <w:szCs w:val="28"/>
          <w:lang w:eastAsia="zh-CN"/>
        </w:rPr>
      </w:pPr>
      <w:r>
        <w:rPr>
          <w:rFonts w:hint="default" w:ascii="仿宋" w:hAnsi="仿宋" w:eastAsia="仿宋" w:cs="仿宋"/>
          <w:sz w:val="28"/>
          <w:szCs w:val="28"/>
          <w:lang w:eastAsia="zh-CN"/>
        </w:rPr>
        <w:t>交易主体登录交易平台——交易主体登录或直接在IE栏中输入以下网</w:t>
      </w:r>
      <w:r>
        <w:rPr>
          <w:rFonts w:hint="eastAsia" w:ascii="仿宋" w:hAnsi="仿宋" w:eastAsia="仿宋" w:cs="仿宋"/>
          <w:sz w:val="28"/>
          <w:szCs w:val="28"/>
          <w:lang w:val="en-US" w:eastAsia="zh-CN"/>
        </w:rPr>
        <w:t>址：</w:t>
      </w:r>
      <w:r>
        <w:rPr>
          <w:rFonts w:hint="eastAsia" w:ascii="仿宋" w:hAnsi="仿宋" w:eastAsia="仿宋" w:cs="仿宋"/>
          <w:color w:val="auto"/>
          <w:sz w:val="28"/>
          <w:szCs w:val="28"/>
          <w:u w:val="none"/>
          <w:lang w:val="en-US" w:eastAsia="zh-CN"/>
        </w:rPr>
        <w:t>https://jyzt.zmctc.com/TPBidder/login.aspx</w:t>
      </w:r>
      <w:r>
        <w:rPr>
          <w:rFonts w:hint="default" w:ascii="仿宋" w:hAnsi="仿宋" w:eastAsia="仿宋" w:cs="仿宋"/>
          <w:color w:val="auto"/>
          <w:sz w:val="28"/>
          <w:szCs w:val="28"/>
          <w:u w:val="none"/>
          <w:lang w:eastAsia="zh-CN"/>
        </w:rPr>
        <w:t>，登录交易平台。</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5420" cy="2270125"/>
            <wp:effectExtent l="0" t="0" r="1143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65420" cy="227012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p>
    <w:p>
      <w:pPr>
        <w:widowControl w:val="0"/>
        <w:numPr>
          <w:ilvl w:val="0"/>
          <w:numId w:val="1"/>
        </w:numPr>
        <w:ind w:left="0" w:leftChars="0" w:firstLine="0" w:firstLineChars="0"/>
        <w:jc w:val="both"/>
        <w:rPr>
          <w:rFonts w:hint="eastAsia" w:ascii="仿宋" w:hAnsi="仿宋" w:eastAsia="仿宋" w:cs="仿宋"/>
          <w:sz w:val="28"/>
          <w:szCs w:val="28"/>
          <w:lang w:val="en-US" w:eastAsia="zh-CN"/>
        </w:rPr>
      </w:pPr>
      <w:r>
        <w:rPr>
          <w:rFonts w:hint="default" w:ascii="仿宋" w:hAnsi="仿宋" w:eastAsia="仿宋" w:cs="仿宋"/>
          <w:sz w:val="28"/>
          <w:szCs w:val="28"/>
          <w:lang w:eastAsia="zh-CN"/>
        </w:rPr>
        <w:t>交易主体</w:t>
      </w:r>
      <w:r>
        <w:rPr>
          <w:rFonts w:hint="eastAsia" w:ascii="仿宋" w:hAnsi="仿宋" w:eastAsia="仿宋" w:cs="仿宋"/>
          <w:sz w:val="28"/>
          <w:szCs w:val="28"/>
          <w:lang w:val="en-US" w:eastAsia="zh-CN"/>
        </w:rPr>
        <w:t>点击招标文件下载，根据“标段名称”或“标段编号”搜索对应标段</w:t>
      </w:r>
      <w:r>
        <w:rPr>
          <w:rFonts w:hint="eastAsia" w:ascii="仿宋" w:hAnsi="仿宋" w:eastAsia="仿宋" w:cs="仿宋"/>
          <w:color w:val="333333"/>
          <w:sz w:val="28"/>
          <w:szCs w:val="28"/>
        </w:rPr>
        <w:t xml:space="preserve"> </w:t>
      </w:r>
      <w:r>
        <w:rPr>
          <w:rFonts w:hint="eastAsia" w:ascii="仿宋" w:hAnsi="仿宋" w:eastAsia="仿宋" w:cs="仿宋"/>
          <w:sz w:val="28"/>
          <w:szCs w:val="28"/>
          <w:lang w:val="en-US" w:eastAsia="zh-CN"/>
        </w:rPr>
        <w:t>，点击操作，填写联系人、联系电话、联系手机后点击我要下载，下载招标文件。</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9230" cy="1750060"/>
            <wp:effectExtent l="0" t="0" r="1270"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269230" cy="175006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2405" cy="2750820"/>
            <wp:effectExtent l="0" t="0" r="10795" b="508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
                    <a:stretch>
                      <a:fillRect/>
                    </a:stretch>
                  </pic:blipFill>
                  <pic:spPr>
                    <a:xfrm>
                      <a:off x="0" y="0"/>
                      <a:ext cx="5272405" cy="275082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8595" cy="1496060"/>
            <wp:effectExtent l="0" t="0" r="444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8595" cy="1496060"/>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当招标文件状态变成“已下载”，即可点击【投标保证金】，进行投标保证金相关操作。</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1830070"/>
            <wp:effectExtent l="0" t="0" r="12065" b="1143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0"/>
                    <a:stretch>
                      <a:fillRect/>
                    </a:stretch>
                  </pic:blipFill>
                  <pic:spPr>
                    <a:xfrm>
                      <a:off x="0" y="0"/>
                      <a:ext cx="5271135" cy="1830070"/>
                    </a:xfrm>
                    <a:prstGeom prst="rect">
                      <a:avLst/>
                    </a:prstGeom>
                    <a:noFill/>
                    <a:ln>
                      <a:noFill/>
                    </a:ln>
                  </pic:spPr>
                </pic:pic>
              </a:graphicData>
            </a:graphic>
          </wp:inline>
        </w:drawing>
      </w:r>
    </w:p>
    <w:p>
      <w:pPr>
        <w:widowControl w:val="0"/>
        <w:numPr>
          <w:ilvl w:val="0"/>
          <w:numId w:val="0"/>
        </w:numPr>
        <w:ind w:leftChars="0"/>
        <w:jc w:val="both"/>
        <w:rPr>
          <w:rFonts w:hint="eastAsia" w:ascii="仿宋" w:hAnsi="仿宋" w:eastAsia="仿宋" w:cs="仿宋"/>
          <w:sz w:val="28"/>
          <w:szCs w:val="28"/>
          <w:lang w:val="en-US" w:eastAsia="zh-CN"/>
        </w:rPr>
      </w:pPr>
      <w:r>
        <w:rPr>
          <w:rFonts w:hint="eastAsia" w:ascii="仿宋" w:hAnsi="仿宋" w:eastAsia="仿宋" w:cs="仿宋"/>
          <w:color w:val="FF0000"/>
          <w:sz w:val="28"/>
          <w:szCs w:val="28"/>
          <w:lang w:val="en-US" w:eastAsia="zh-CN"/>
        </w:rPr>
        <w:t>注意，保证金缴纳金额，若系统里与招标文件不</w:t>
      </w:r>
      <w:r>
        <w:rPr>
          <w:rFonts w:hint="default" w:ascii="仿宋" w:hAnsi="仿宋" w:eastAsia="仿宋" w:cs="仿宋"/>
          <w:color w:val="FF0000"/>
          <w:sz w:val="28"/>
          <w:szCs w:val="28"/>
          <w:lang w:eastAsia="zh-CN"/>
        </w:rPr>
        <w:t>一致</w:t>
      </w:r>
      <w:r>
        <w:rPr>
          <w:rFonts w:hint="eastAsia" w:ascii="仿宋" w:hAnsi="仿宋" w:eastAsia="仿宋" w:cs="仿宋"/>
          <w:color w:val="FF0000"/>
          <w:sz w:val="28"/>
          <w:szCs w:val="28"/>
          <w:lang w:val="en-US" w:eastAsia="zh-CN"/>
        </w:rPr>
        <w:t>，请按照招标文件中规定的金额缴纳</w:t>
      </w:r>
      <w:r>
        <w:rPr>
          <w:rFonts w:hint="eastAsia" w:ascii="仿宋" w:hAnsi="仿宋" w:eastAsia="仿宋" w:cs="仿宋"/>
          <w:sz w:val="28"/>
          <w:szCs w:val="28"/>
          <w:lang w:val="en-US" w:eastAsia="zh-CN"/>
        </w:rPr>
        <w:t>。</w:t>
      </w:r>
    </w:p>
    <w:p>
      <w:pPr>
        <w:widowControl w:val="0"/>
        <w:numPr>
          <w:ilvl w:val="0"/>
          <w:numId w:val="0"/>
        </w:numPr>
        <w:jc w:val="both"/>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70500" cy="1159510"/>
            <wp:effectExtent l="0" t="0" r="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270500" cy="1159510"/>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点击生成交易凭证编码，选择缴纳方式</w:t>
      </w:r>
      <w:r>
        <w:rPr>
          <w:rFonts w:hint="default" w:ascii="仿宋" w:hAnsi="仿宋" w:eastAsia="仿宋" w:cs="仿宋"/>
          <w:sz w:val="28"/>
          <w:szCs w:val="28"/>
          <w:lang w:eastAsia="zh-CN"/>
        </w:rPr>
        <w:t>。</w:t>
      </w:r>
      <w:r>
        <w:rPr>
          <w:rFonts w:hint="default" w:ascii="仿宋" w:hAnsi="仿宋" w:eastAsia="仿宋" w:cs="仿宋"/>
          <w:color w:val="FF0000"/>
          <w:sz w:val="28"/>
          <w:szCs w:val="28"/>
          <w:lang w:eastAsia="zh-CN"/>
        </w:rPr>
        <w:t>通过银行方式缴纳的保证金请在转账单备注栏中录入完整的交易凭证编码，请不要录入除交易凭证编码外任</w:t>
      </w:r>
      <w:r>
        <w:rPr>
          <w:rFonts w:hint="default" w:ascii="仿宋" w:hAnsi="仿宋" w:eastAsia="仿宋" w:cs="仿宋"/>
          <w:color w:val="FF0000"/>
          <w:sz w:val="28"/>
          <w:szCs w:val="28"/>
          <w:lang w:eastAsia="zh-CN"/>
          <w:woUserID w:val="1"/>
        </w:rPr>
        <w:t>何</w:t>
      </w:r>
      <w:r>
        <w:rPr>
          <w:rFonts w:hint="default" w:ascii="仿宋" w:hAnsi="仿宋" w:eastAsia="仿宋" w:cs="仿宋"/>
          <w:color w:val="FF0000"/>
          <w:sz w:val="28"/>
          <w:szCs w:val="28"/>
          <w:lang w:eastAsia="zh-CN"/>
        </w:rPr>
        <w:t>文字或符号。</w:t>
      </w:r>
      <w:r>
        <w:rPr>
          <w:rFonts w:hint="eastAsia" w:ascii="仿宋" w:hAnsi="仿宋" w:eastAsia="仿宋" w:cs="仿宋"/>
          <w:b/>
          <w:bCs/>
          <w:color w:val="FFFFFF"/>
          <w:sz w:val="28"/>
          <w:szCs w:val="28"/>
        </w:rPr>
        <w:t>生成交易凭证编码</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770" cy="2026920"/>
            <wp:effectExtent l="0" t="0" r="11430" b="508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2"/>
                    <a:stretch>
                      <a:fillRect/>
                    </a:stretch>
                  </pic:blipFill>
                  <pic:spPr>
                    <a:xfrm>
                      <a:off x="0" y="0"/>
                      <a:ext cx="5271770" cy="202692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p>
    <w:p>
      <w:pPr>
        <w:widowControl w:val="0"/>
        <w:numPr>
          <w:ilvl w:val="0"/>
          <w:numId w:val="1"/>
        </w:numPr>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招商银行保证金缴纳及关联：</w:t>
      </w:r>
    </w:p>
    <w:p>
      <w:pPr>
        <w:widowControl w:val="0"/>
        <w:numPr>
          <w:ilvl w:val="0"/>
          <w:numId w:val="0"/>
        </w:numPr>
        <w:ind w:leftChars="0"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5.1点击“交易凭证编码”按钮后，点击“招商银行在线办理”按钮，跳转至招商银行页面。</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5.2 跳转至招商银行页面后，“</w:t>
      </w:r>
      <w:r>
        <w:rPr>
          <w:rFonts w:hint="eastAsia" w:ascii="仿宋" w:hAnsi="仿宋" w:eastAsia="仿宋" w:cs="仿宋"/>
          <w:color w:val="FF0000"/>
          <w:sz w:val="28"/>
          <w:szCs w:val="28"/>
          <w:lang w:val="en-US" w:eastAsia="zh-CN"/>
        </w:rPr>
        <w:t>交易凭证编码</w:t>
      </w:r>
      <w:r>
        <w:rPr>
          <w:rFonts w:hint="eastAsia" w:ascii="仿宋" w:hAnsi="仿宋" w:eastAsia="仿宋" w:cs="仿宋"/>
          <w:sz w:val="28"/>
          <w:szCs w:val="28"/>
          <w:lang w:val="en-US" w:eastAsia="zh-CN"/>
        </w:rPr>
        <w:t>”自动生成，可登记联系方式有助于接收投标相关的短信通知。</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4"/>
                    <a:stretch>
                      <a:fillRect/>
                    </a:stretch>
                  </pic:blipFill>
                  <pic:spPr>
                    <a:xfrm>
                      <a:off x="0" y="0"/>
                      <a:ext cx="5266690" cy="2298700"/>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5.3 根据招标文件上的招商银行账号汇款招标文件上的保证金金额，汇款时，</w:t>
      </w:r>
      <w:r>
        <w:rPr>
          <w:rFonts w:hint="eastAsia" w:ascii="仿宋" w:hAnsi="仿宋" w:eastAsia="仿宋" w:cs="仿宋"/>
          <w:color w:val="FF0000"/>
          <w:sz w:val="28"/>
          <w:szCs w:val="28"/>
          <w:lang w:val="en-US" w:eastAsia="zh-CN"/>
        </w:rPr>
        <w:t>“交易凭证编码”</w:t>
      </w:r>
      <w:r>
        <w:rPr>
          <w:rFonts w:hint="default" w:ascii="仿宋" w:hAnsi="仿宋" w:eastAsia="仿宋" w:cs="仿宋"/>
          <w:color w:val="FF0000"/>
          <w:sz w:val="28"/>
          <w:szCs w:val="28"/>
          <w:lang w:eastAsia="zh-CN"/>
          <w:woUserID w:val="1"/>
        </w:rPr>
        <w:t>务</w:t>
      </w:r>
      <w:r>
        <w:rPr>
          <w:rFonts w:hint="eastAsia" w:ascii="仿宋" w:hAnsi="仿宋" w:eastAsia="仿宋" w:cs="仿宋"/>
          <w:color w:val="FF0000"/>
          <w:sz w:val="28"/>
          <w:szCs w:val="28"/>
          <w:lang w:val="en-US" w:eastAsia="zh-CN"/>
        </w:rPr>
        <w:t>必备注正确，</w:t>
      </w:r>
      <w:r>
        <w:rPr>
          <w:rFonts w:hint="default" w:ascii="仿宋" w:hAnsi="仿宋" w:eastAsia="仿宋" w:cs="仿宋"/>
          <w:color w:val="FF0000"/>
          <w:sz w:val="28"/>
          <w:szCs w:val="28"/>
          <w:lang w:eastAsia="zh-CN"/>
        </w:rPr>
        <w:t>请不要录入除交易凭证编码外任</w:t>
      </w:r>
      <w:r>
        <w:rPr>
          <w:rFonts w:hint="default" w:ascii="仿宋" w:hAnsi="仿宋" w:eastAsia="仿宋" w:cs="仿宋"/>
          <w:color w:val="FF0000"/>
          <w:sz w:val="28"/>
          <w:szCs w:val="28"/>
          <w:lang w:eastAsia="zh-CN"/>
          <w:woUserID w:val="1"/>
        </w:rPr>
        <w:t>何</w:t>
      </w:r>
      <w:r>
        <w:rPr>
          <w:rFonts w:hint="default" w:ascii="仿宋" w:hAnsi="仿宋" w:eastAsia="仿宋" w:cs="仿宋"/>
          <w:color w:val="FF0000"/>
          <w:sz w:val="28"/>
          <w:szCs w:val="28"/>
          <w:lang w:eastAsia="zh-CN"/>
        </w:rPr>
        <w:t>文字或符号。</w:t>
      </w:r>
      <w:r>
        <w:rPr>
          <w:rFonts w:hint="eastAsia" w:ascii="仿宋" w:hAnsi="仿宋" w:eastAsia="仿宋" w:cs="仿宋"/>
          <w:b/>
          <w:bCs/>
          <w:color w:val="FFFFFF"/>
          <w:sz w:val="28"/>
          <w:szCs w:val="28"/>
        </w:rPr>
        <w:t>生成交易凭证编码</w:t>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5.4 汇款成功后，点击“查询及自助关联”按钮，点击招商银行的“查询关联”按钮，即可查看关联情况。</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5"/>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66690" cy="2298700"/>
            <wp:effectExtent l="0" t="0" r="6350" b="254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6"/>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5.5 点击“保证金缴存状态查询”进行保证金状态查询，点击“查询”按钮后，下方会出现此标段的缴纳明细，点击“查看明细”按钮，若“关联标志”为“已关联”即关联成功。若不是，则</w:t>
      </w:r>
      <w:r>
        <w:rPr>
          <w:rFonts w:hint="eastAsia" w:ascii="仿宋" w:hAnsi="仿宋" w:eastAsia="仿宋" w:cs="仿宋"/>
          <w:color w:val="FF0000"/>
          <w:sz w:val="28"/>
          <w:szCs w:val="28"/>
          <w:lang w:val="en-US" w:eastAsia="zh-CN"/>
        </w:rPr>
        <w:t>需手动关联</w:t>
      </w:r>
      <w:r>
        <w:rPr>
          <w:rFonts w:hint="eastAsia" w:ascii="仿宋" w:hAnsi="仿宋" w:eastAsia="仿宋" w:cs="仿宋"/>
          <w:sz w:val="28"/>
          <w:szCs w:val="28"/>
          <w:lang w:val="en-US" w:eastAsia="zh-CN"/>
        </w:rPr>
        <w:t>。</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3675" cy="1302385"/>
            <wp:effectExtent l="0" t="0" r="14605" b="825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5273675" cy="1302385"/>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5.6 若没有自动关联，则需手动进行关联，点击“自助关联”按钮，然后点击“查询”按钮，下方会出现对应的缴纳明细，选择“金额”大于或等于招标文件规定要求的明细，点击“操作”进行自助关联。</w:t>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5.7 若</w:t>
      </w:r>
      <w:r>
        <w:rPr>
          <w:rFonts w:hint="default" w:ascii="仿宋" w:hAnsi="仿宋" w:eastAsia="仿宋" w:cs="仿宋"/>
          <w:sz w:val="28"/>
          <w:szCs w:val="28"/>
          <w:lang w:eastAsia="zh-CN"/>
        </w:rPr>
        <w:t>要</w:t>
      </w:r>
      <w:r>
        <w:rPr>
          <w:rFonts w:hint="eastAsia" w:ascii="仿宋" w:hAnsi="仿宋" w:eastAsia="仿宋" w:cs="仿宋"/>
          <w:sz w:val="28"/>
          <w:szCs w:val="28"/>
          <w:lang w:val="en-US" w:eastAsia="zh-CN"/>
        </w:rPr>
        <w:t>取消关联，点击“自助关联撤销”按钮，然后点击“查询”按钮，下方会出现对应的关联明细，选择正确的明细，点击“操作”进行取消自助。</w:t>
      </w:r>
    </w:p>
    <w:p>
      <w:pPr>
        <w:widowControl w:val="0"/>
        <w:numPr>
          <w:ilvl w:val="0"/>
          <w:numId w:val="0"/>
        </w:numPr>
        <w:jc w:val="both"/>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66690" cy="2298700"/>
            <wp:effectExtent l="0" t="0" r="6350" b="25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9"/>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5266690" cy="2298700"/>
                    </a:xfrm>
                    <a:prstGeom prst="rect">
                      <a:avLst/>
                    </a:prstGeom>
                    <a:noFill/>
                    <a:ln>
                      <a:noFill/>
                    </a:ln>
                  </pic:spPr>
                </pic:pic>
              </a:graphicData>
            </a:graphic>
          </wp:inline>
        </w:drawing>
      </w:r>
    </w:p>
    <w:p>
      <w:pPr>
        <w:widowControl w:val="0"/>
        <w:numPr>
          <w:ilvl w:val="-1"/>
          <w:numId w:val="0"/>
        </w:num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6、工商银行保证金缴纳及关联：</w:t>
      </w:r>
    </w:p>
    <w:p>
      <w:pPr>
        <w:widowControl w:val="0"/>
        <w:numPr>
          <w:ilvl w:val="0"/>
          <w:numId w:val="0"/>
        </w:numPr>
        <w:ind w:leftChars="0"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6.1 点击“交易凭证编码”按钮后，点击“工商银行”按钮，进行“交易凭证编码”的生成。</w:t>
      </w:r>
    </w:p>
    <w:p>
      <w:pPr>
        <w:widowControl w:val="0"/>
        <w:numPr>
          <w:ilvl w:val="0"/>
          <w:numId w:val="0"/>
        </w:numPr>
        <w:ind w:firstLine="420" w:firstLineChars="0"/>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5266690" cy="2298700"/>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6.2 在“生成交易凭证编码”页面，填写好信息后，点击“交易凭证编码生成”按钮，即可生成“交易凭证编码”，根据招标文件上的工商银行账号汇款招标文件上的保证金金额。汇款时，</w:t>
      </w:r>
      <w:r>
        <w:rPr>
          <w:rFonts w:hint="eastAsia" w:ascii="仿宋" w:hAnsi="仿宋" w:eastAsia="仿宋" w:cs="仿宋"/>
          <w:color w:val="FF0000"/>
          <w:sz w:val="28"/>
          <w:szCs w:val="28"/>
          <w:lang w:val="en-US" w:eastAsia="zh-CN"/>
        </w:rPr>
        <w:t>“交易凭证编码”</w:t>
      </w:r>
      <w:r>
        <w:rPr>
          <w:rFonts w:hint="default" w:ascii="仿宋" w:hAnsi="仿宋" w:eastAsia="仿宋" w:cs="仿宋"/>
          <w:color w:val="FF0000"/>
          <w:sz w:val="28"/>
          <w:szCs w:val="28"/>
          <w:lang w:eastAsia="zh-CN"/>
          <w:woUserID w:val="1"/>
        </w:rPr>
        <w:t>务必</w:t>
      </w:r>
      <w:r>
        <w:rPr>
          <w:rFonts w:hint="eastAsia" w:ascii="仿宋" w:hAnsi="仿宋" w:eastAsia="仿宋" w:cs="仿宋"/>
          <w:color w:val="FF0000"/>
          <w:sz w:val="28"/>
          <w:szCs w:val="28"/>
          <w:lang w:val="en-US" w:eastAsia="zh-CN"/>
        </w:rPr>
        <w:t>备注正确</w:t>
      </w:r>
      <w:r>
        <w:rPr>
          <w:rFonts w:hint="eastAsia" w:ascii="仿宋" w:hAnsi="仿宋" w:eastAsia="仿宋" w:cs="仿宋"/>
          <w:sz w:val="28"/>
          <w:szCs w:val="28"/>
          <w:lang w:val="en-US" w:eastAsia="zh-CN"/>
        </w:rPr>
        <w:t>，</w:t>
      </w:r>
      <w:r>
        <w:rPr>
          <w:rFonts w:hint="default" w:ascii="仿宋" w:hAnsi="仿宋" w:eastAsia="仿宋" w:cs="仿宋"/>
          <w:color w:val="FF0000"/>
          <w:sz w:val="28"/>
          <w:szCs w:val="28"/>
          <w:lang w:eastAsia="zh-CN"/>
        </w:rPr>
        <w:t>请不要录入除交易凭证编码外任</w:t>
      </w:r>
      <w:r>
        <w:rPr>
          <w:rFonts w:hint="default" w:ascii="仿宋" w:hAnsi="仿宋" w:eastAsia="仿宋" w:cs="仿宋"/>
          <w:color w:val="FF0000"/>
          <w:sz w:val="28"/>
          <w:szCs w:val="28"/>
          <w:lang w:eastAsia="zh-CN"/>
          <w:woUserID w:val="1"/>
        </w:rPr>
        <w:t>何</w:t>
      </w:r>
      <w:r>
        <w:rPr>
          <w:rFonts w:hint="default" w:ascii="仿宋" w:hAnsi="仿宋" w:eastAsia="仿宋" w:cs="仿宋"/>
          <w:color w:val="FF0000"/>
          <w:sz w:val="28"/>
          <w:szCs w:val="28"/>
          <w:lang w:eastAsia="zh-CN"/>
        </w:rPr>
        <w:t>文字或符号。</w:t>
      </w:r>
    </w:p>
    <w:p>
      <w:pPr>
        <w:widowControl w:val="0"/>
        <w:numPr>
          <w:ilvl w:val="0"/>
          <w:numId w:val="0"/>
        </w:numPr>
        <w:ind w:firstLine="420" w:firstLineChars="0"/>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2"/>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6.3 汇款成功后，点击“查询及自助关联”按钮，点击工商银行的“查询关联”按钮，即可查看关联情况。</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3"/>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24"/>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6.4 若“保证金缴存状态查询”页面，对应标段的“关联状态”为“已关联”，“缴纳状态”为“足额缴纳”，则表示关联成功。</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5"/>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6.5 若“保证金缴存状态查询”页面，对应标段的“关联状态”为“未关联”，则需点击“关联”按钮，进行手动关联。</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10160" b="635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6"/>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6.6 在“保证金关联”页面，填写“汇款开始时间”和“汇款结束时间”，点击“获取缴纳记录”按钮，即可在下方看到缴纳记录，选择正确的记录，点击“操作”按钮进行关联</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7"/>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6.7 关联成功后，“已关联金额”模块会展示具体的关联明细，核对“已缴纳有限保证金金额”大于或等于招标文件规定的保证金金额。点击“取消关联”按钮可以取消关联。</w:t>
      </w: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2405" cy="989965"/>
            <wp:effectExtent l="0" t="0" r="635" b="63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8"/>
                    <a:stretch>
                      <a:fillRect/>
                    </a:stretch>
                  </pic:blipFill>
                  <pic:spPr>
                    <a:xfrm>
                      <a:off x="0" y="0"/>
                      <a:ext cx="5272405" cy="98996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p>
    <w:p>
      <w:pPr>
        <w:widowControl w:val="0"/>
        <w:numPr>
          <w:ilvl w:val="0"/>
          <w:numId w:val="2"/>
        </w:num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中信银行保证金缴纳及关联：</w:t>
      </w:r>
    </w:p>
    <w:p>
      <w:pPr>
        <w:widowControl w:val="0"/>
        <w:numPr>
          <w:ilvl w:val="0"/>
          <w:numId w:val="0"/>
        </w:numPr>
        <w:ind w:leftChars="0"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7.1 点击“交易凭证编码”按钮后，点击“中信银行”按钮，进行“交易凭证编码”的生成。</w:t>
      </w:r>
    </w:p>
    <w:p>
      <w:pPr>
        <w:widowControl w:val="0"/>
        <w:numPr>
          <w:ilvl w:val="0"/>
          <w:numId w:val="0"/>
        </w:numPr>
        <w:ind w:firstLine="420" w:firstLineChars="0"/>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9"/>
                    <a:stretch>
                      <a:fillRect/>
                    </a:stretch>
                  </pic:blipFill>
                  <pic:spPr>
                    <a:xfrm>
                      <a:off x="0" y="0"/>
                      <a:ext cx="5266690" cy="2298700"/>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7.2 在“生成交易凭证编码”页面，填写好信息后，点击“交易凭证编码生成”按钮，即可生成“交易凭证编码”，根据招标文件上的工商银行账号汇款招标文件上的保证金金额。汇款时，</w:t>
      </w:r>
      <w:r>
        <w:rPr>
          <w:rFonts w:hint="eastAsia" w:ascii="仿宋" w:hAnsi="仿宋" w:eastAsia="仿宋" w:cs="仿宋"/>
          <w:color w:val="FF0000"/>
          <w:sz w:val="28"/>
          <w:szCs w:val="28"/>
          <w:lang w:val="en-US" w:eastAsia="zh-CN"/>
        </w:rPr>
        <w:t>“交易凭证编码”</w:t>
      </w:r>
      <w:r>
        <w:rPr>
          <w:rFonts w:hint="default" w:ascii="仿宋" w:hAnsi="仿宋" w:eastAsia="仿宋" w:cs="仿宋"/>
          <w:color w:val="FF0000"/>
          <w:sz w:val="28"/>
          <w:szCs w:val="28"/>
          <w:lang w:eastAsia="zh-CN"/>
          <w:woUserID w:val="1"/>
        </w:rPr>
        <w:t>务必</w:t>
      </w:r>
      <w:r>
        <w:rPr>
          <w:rFonts w:hint="eastAsia" w:ascii="仿宋" w:hAnsi="仿宋" w:eastAsia="仿宋" w:cs="仿宋"/>
          <w:color w:val="FF0000"/>
          <w:sz w:val="28"/>
          <w:szCs w:val="28"/>
          <w:lang w:val="en-US" w:eastAsia="zh-CN"/>
        </w:rPr>
        <w:t>备注正确，</w:t>
      </w:r>
      <w:r>
        <w:rPr>
          <w:rFonts w:hint="default" w:ascii="仿宋" w:hAnsi="仿宋" w:eastAsia="仿宋" w:cs="仿宋"/>
          <w:color w:val="FF0000"/>
          <w:sz w:val="28"/>
          <w:szCs w:val="28"/>
          <w:lang w:eastAsia="zh-CN"/>
        </w:rPr>
        <w:t>请不要录入除交易凭证编码外任</w:t>
      </w:r>
      <w:r>
        <w:rPr>
          <w:rFonts w:hint="default" w:ascii="仿宋" w:hAnsi="仿宋" w:eastAsia="仿宋" w:cs="仿宋"/>
          <w:color w:val="FF0000"/>
          <w:sz w:val="28"/>
          <w:szCs w:val="28"/>
          <w:lang w:eastAsia="zh-CN"/>
          <w:woUserID w:val="1"/>
        </w:rPr>
        <w:t>何</w:t>
      </w:r>
      <w:bookmarkStart w:id="0" w:name="_GoBack"/>
      <w:bookmarkEnd w:id="0"/>
      <w:r>
        <w:rPr>
          <w:rFonts w:hint="default" w:ascii="仿宋" w:hAnsi="仿宋" w:eastAsia="仿宋" w:cs="仿宋"/>
          <w:color w:val="FF0000"/>
          <w:sz w:val="28"/>
          <w:szCs w:val="28"/>
          <w:lang w:eastAsia="zh-CN"/>
        </w:rPr>
        <w:t>文字或符号。</w:t>
      </w:r>
    </w:p>
    <w:p>
      <w:pPr>
        <w:widowControl w:val="0"/>
        <w:numPr>
          <w:ilvl w:val="0"/>
          <w:numId w:val="0"/>
        </w:numPr>
        <w:ind w:firstLine="420" w:firstLineChars="0"/>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30"/>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7.3 汇款成功后，点击“查询及自助关联”按钮，点击中信银行的“查询关联”按钮，即可查看关联情况。</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3"/>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31"/>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7.4 若“保证金缴存状态查询”页面，对应标段的“关联状态”为“已关联”，“缴纳状态”为“足额缴纳”，则表示关联成功。</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25"/>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7.5 若“保证金缴存状态查询”页面，对应标段的“关联状态”为“未关联”，则需点击“关联”按钮，进行手动关联。</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26"/>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7.6 在“保证金关联”页面，未关联金额模块上，找到对应的缴纳记录，点击“操作”即可关联。</w:t>
      </w:r>
    </w:p>
    <w:p>
      <w:pPr>
        <w:widowControl w:val="0"/>
        <w:numPr>
          <w:ilvl w:val="0"/>
          <w:numId w:val="0"/>
        </w:numPr>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298700"/>
            <wp:effectExtent l="0" t="0" r="6350" b="254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2"/>
                    <a:stretch>
                      <a:fillRect/>
                    </a:stretch>
                  </pic:blipFill>
                  <pic:spPr>
                    <a:xfrm>
                      <a:off x="0" y="0"/>
                      <a:ext cx="5266690" cy="2298700"/>
                    </a:xfrm>
                    <a:prstGeom prst="rect">
                      <a:avLst/>
                    </a:prstGeom>
                    <a:noFill/>
                    <a:ln>
                      <a:noFill/>
                    </a:ln>
                  </pic:spPr>
                </pic:pic>
              </a:graphicData>
            </a:graphic>
          </wp:inline>
        </w:drawing>
      </w:r>
    </w:p>
    <w:p>
      <w:pPr>
        <w:widowControl w:val="0"/>
        <w:numPr>
          <w:ilvl w:val="0"/>
          <w:numId w:val="0"/>
        </w:numPr>
        <w:ind w:firstLine="42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7.7 关联成功后，“已关联金额”模块会展示具体的关联明细，核对“已缴纳有限保证金金额”大于或等于招标文件规定的保证金金额。点击“操作”按钮可以</w:t>
      </w:r>
      <w:r>
        <w:rPr>
          <w:rFonts w:hint="eastAsia" w:ascii="仿宋" w:hAnsi="仿宋" w:eastAsia="仿宋" w:cs="仿宋"/>
          <w:sz w:val="28"/>
          <w:szCs w:val="28"/>
          <w:u w:val="single"/>
          <w:lang w:val="en-US" w:eastAsia="zh-CN"/>
        </w:rPr>
        <w:t>取消关</w:t>
      </w:r>
      <w:r>
        <w:rPr>
          <w:rFonts w:hint="eastAsia" w:ascii="仿宋" w:hAnsi="仿宋" w:eastAsia="仿宋" w:cs="仿宋"/>
          <w:sz w:val="28"/>
          <w:szCs w:val="28"/>
          <w:lang w:val="en-US" w:eastAsia="zh-CN"/>
        </w:rPr>
        <w:t>联。</w:t>
      </w: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lang w:val="en-US" w:eastAsia="zh-CN"/>
        </w:rPr>
      </w:pPr>
    </w:p>
    <w:p>
      <w:pPr>
        <w:widowControl w:val="0"/>
        <w:numPr>
          <w:ilvl w:val="0"/>
          <w:numId w:val="0"/>
        </w:numPr>
        <w:jc w:val="both"/>
        <w:rPr>
          <w:rFonts w:hint="eastAsia" w:ascii="仿宋" w:hAnsi="仿宋" w:eastAsia="仿宋" w:cs="仿宋"/>
          <w:sz w:val="28"/>
          <w:szCs w:val="28"/>
          <w:lang w:val="en-US" w:eastAsia="zh-CN"/>
        </w:rPr>
      </w:pPr>
    </w:p>
    <w:p>
      <w:pPr>
        <w:widowControl w:val="0"/>
        <w:numPr>
          <w:ilvl w:val="0"/>
          <w:numId w:val="0"/>
        </w:numPr>
        <w:jc w:val="both"/>
        <w:rPr>
          <w:rFonts w:hint="eastAsia" w:ascii="仿宋" w:hAnsi="仿宋" w:eastAsia="仿宋" w:cs="仿宋"/>
          <w:sz w:val="28"/>
          <w:szCs w:val="28"/>
          <w:lang w:val="en-US" w:eastAsia="zh-CN"/>
        </w:rPr>
      </w:pPr>
    </w:p>
    <w:p>
      <w:pPr>
        <w:widowControl w:val="0"/>
        <w:numPr>
          <w:ilvl w:val="0"/>
          <w:numId w:val="0"/>
        </w:numPr>
        <w:jc w:val="both"/>
        <w:rPr>
          <w:rFonts w:hint="eastAsia" w:ascii="仿宋" w:hAnsi="仿宋" w:eastAsia="仿宋" w:cs="仿宋"/>
          <w:sz w:val="28"/>
          <w:szCs w:val="28"/>
          <w:lang w:val="en-US" w:eastAsia="zh-CN"/>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eastAsia" w:ascii="仿宋" w:hAnsi="仿宋" w:eastAsia="仿宋" w:cs="仿宋"/>
          <w:sz w:val="28"/>
          <w:szCs w:val="28"/>
        </w:rPr>
      </w:pPr>
    </w:p>
    <w:p>
      <w:pPr>
        <w:widowControl w:val="0"/>
        <w:numPr>
          <w:ilvl w:val="0"/>
          <w:numId w:val="0"/>
        </w:num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00000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仿宋">
    <w:altName w:val="汉仪仿宋KW"/>
    <w:panose1 w:val="02010609060101010101"/>
    <w:charset w:val="86"/>
    <w:family w:val="auto"/>
    <w:pitch w:val="default"/>
    <w:sig w:usb0="00000000" w:usb1="00000000" w:usb2="00000016" w:usb3="00000000" w:csb0="00040001" w:csb1="00000000"/>
  </w:font>
  <w:font w:name="汉仪仿宋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3293A2"/>
    <w:multiLevelType w:val="singleLevel"/>
    <w:tmpl w:val="873293A2"/>
    <w:lvl w:ilvl="0" w:tentative="0">
      <w:start w:val="7"/>
      <w:numFmt w:val="decimal"/>
      <w:suff w:val="nothing"/>
      <w:lvlText w:val="%1、"/>
      <w:lvlJc w:val="left"/>
    </w:lvl>
  </w:abstractNum>
  <w:abstractNum w:abstractNumId="1">
    <w:nsid w:val="3DE45975"/>
    <w:multiLevelType w:val="singleLevel"/>
    <w:tmpl w:val="3DE45975"/>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1MzMzYWRjYjAwNmY4ZDUzMTA3YWZkZWIzYzMyMzYifQ=="/>
  </w:docVars>
  <w:rsids>
    <w:rsidRoot w:val="00000000"/>
    <w:rsid w:val="007E4CA5"/>
    <w:rsid w:val="00862CE2"/>
    <w:rsid w:val="00AE4E5E"/>
    <w:rsid w:val="01814CB8"/>
    <w:rsid w:val="022D740A"/>
    <w:rsid w:val="02571C51"/>
    <w:rsid w:val="02702D13"/>
    <w:rsid w:val="028B36A9"/>
    <w:rsid w:val="0297204E"/>
    <w:rsid w:val="0580501B"/>
    <w:rsid w:val="06F55595"/>
    <w:rsid w:val="073C7668"/>
    <w:rsid w:val="0749768F"/>
    <w:rsid w:val="07574B9B"/>
    <w:rsid w:val="07943000"/>
    <w:rsid w:val="07EC2E3C"/>
    <w:rsid w:val="080812F8"/>
    <w:rsid w:val="082C4FE6"/>
    <w:rsid w:val="08663638"/>
    <w:rsid w:val="08871A6F"/>
    <w:rsid w:val="09554A11"/>
    <w:rsid w:val="09846E7F"/>
    <w:rsid w:val="098826F0"/>
    <w:rsid w:val="0A1E3055"/>
    <w:rsid w:val="0A8C7FBE"/>
    <w:rsid w:val="0B1C3A38"/>
    <w:rsid w:val="0B27418B"/>
    <w:rsid w:val="0B48482D"/>
    <w:rsid w:val="0B5F56D3"/>
    <w:rsid w:val="0C1741FF"/>
    <w:rsid w:val="0C711B61"/>
    <w:rsid w:val="0C776A4C"/>
    <w:rsid w:val="0CF0470D"/>
    <w:rsid w:val="0D046CC1"/>
    <w:rsid w:val="0D786F20"/>
    <w:rsid w:val="0DA87805"/>
    <w:rsid w:val="0E0D1416"/>
    <w:rsid w:val="0E100ADB"/>
    <w:rsid w:val="0E833DCE"/>
    <w:rsid w:val="0F3A3D58"/>
    <w:rsid w:val="0F5C08A7"/>
    <w:rsid w:val="0F5D461F"/>
    <w:rsid w:val="0F7A2ADB"/>
    <w:rsid w:val="0FCB3337"/>
    <w:rsid w:val="10042CED"/>
    <w:rsid w:val="10061900"/>
    <w:rsid w:val="10C85D13"/>
    <w:rsid w:val="10D17073"/>
    <w:rsid w:val="10F60887"/>
    <w:rsid w:val="11A958FA"/>
    <w:rsid w:val="120314AE"/>
    <w:rsid w:val="12A1382E"/>
    <w:rsid w:val="12DA1AE3"/>
    <w:rsid w:val="13180F89"/>
    <w:rsid w:val="13787130"/>
    <w:rsid w:val="143C4803"/>
    <w:rsid w:val="14727DB6"/>
    <w:rsid w:val="14D62EA9"/>
    <w:rsid w:val="14F72E20"/>
    <w:rsid w:val="158252A2"/>
    <w:rsid w:val="15DF06E2"/>
    <w:rsid w:val="161A0B74"/>
    <w:rsid w:val="16534086"/>
    <w:rsid w:val="165D6CB3"/>
    <w:rsid w:val="17190E2C"/>
    <w:rsid w:val="17263548"/>
    <w:rsid w:val="17306175"/>
    <w:rsid w:val="179D7CAF"/>
    <w:rsid w:val="17EA27C8"/>
    <w:rsid w:val="18C13529"/>
    <w:rsid w:val="18C272A1"/>
    <w:rsid w:val="18DD7F54"/>
    <w:rsid w:val="194A4E3B"/>
    <w:rsid w:val="1950519A"/>
    <w:rsid w:val="19A60971"/>
    <w:rsid w:val="19DB2D10"/>
    <w:rsid w:val="1A2A15A2"/>
    <w:rsid w:val="1AE71241"/>
    <w:rsid w:val="1B4072CF"/>
    <w:rsid w:val="1B46240B"/>
    <w:rsid w:val="1B8F3DB2"/>
    <w:rsid w:val="1B9238A2"/>
    <w:rsid w:val="1BB9498B"/>
    <w:rsid w:val="1BC33A5C"/>
    <w:rsid w:val="1BF35FF6"/>
    <w:rsid w:val="1CAE2016"/>
    <w:rsid w:val="1CEC0D90"/>
    <w:rsid w:val="1D3547D9"/>
    <w:rsid w:val="1DC064A5"/>
    <w:rsid w:val="1DE06B47"/>
    <w:rsid w:val="1E082962"/>
    <w:rsid w:val="1E3B3D7D"/>
    <w:rsid w:val="1F6C5263"/>
    <w:rsid w:val="1FCF29CF"/>
    <w:rsid w:val="1FE50445"/>
    <w:rsid w:val="20284CAB"/>
    <w:rsid w:val="208C6B12"/>
    <w:rsid w:val="20F052F3"/>
    <w:rsid w:val="210448FA"/>
    <w:rsid w:val="21747CD2"/>
    <w:rsid w:val="22205764"/>
    <w:rsid w:val="229466AE"/>
    <w:rsid w:val="22A11E88"/>
    <w:rsid w:val="22F95FB5"/>
    <w:rsid w:val="231150AD"/>
    <w:rsid w:val="23D93386"/>
    <w:rsid w:val="2412732E"/>
    <w:rsid w:val="24172B97"/>
    <w:rsid w:val="24C05E84"/>
    <w:rsid w:val="24C20D54"/>
    <w:rsid w:val="24D80578"/>
    <w:rsid w:val="24F84776"/>
    <w:rsid w:val="255875E9"/>
    <w:rsid w:val="25BC1C48"/>
    <w:rsid w:val="25CB405C"/>
    <w:rsid w:val="26B7240F"/>
    <w:rsid w:val="27C941A8"/>
    <w:rsid w:val="28322D6E"/>
    <w:rsid w:val="28351226"/>
    <w:rsid w:val="28FF749C"/>
    <w:rsid w:val="2A97233B"/>
    <w:rsid w:val="2AD76BDC"/>
    <w:rsid w:val="2B004385"/>
    <w:rsid w:val="2BF27A13"/>
    <w:rsid w:val="2C347894"/>
    <w:rsid w:val="2CF257F8"/>
    <w:rsid w:val="2CF44B36"/>
    <w:rsid w:val="2D373037"/>
    <w:rsid w:val="2E314855"/>
    <w:rsid w:val="2E334A71"/>
    <w:rsid w:val="2E33681F"/>
    <w:rsid w:val="2E864BA1"/>
    <w:rsid w:val="2EBE3EAA"/>
    <w:rsid w:val="2F4526BC"/>
    <w:rsid w:val="2F9C6646"/>
    <w:rsid w:val="2FC45A3B"/>
    <w:rsid w:val="300E12F2"/>
    <w:rsid w:val="30B023A9"/>
    <w:rsid w:val="316D3DF6"/>
    <w:rsid w:val="3183186B"/>
    <w:rsid w:val="323D1A1A"/>
    <w:rsid w:val="32BD0DAD"/>
    <w:rsid w:val="32C57C62"/>
    <w:rsid w:val="33770F5C"/>
    <w:rsid w:val="33A04578"/>
    <w:rsid w:val="34E268A9"/>
    <w:rsid w:val="34F02273"/>
    <w:rsid w:val="35170C48"/>
    <w:rsid w:val="355A6D87"/>
    <w:rsid w:val="35B2115F"/>
    <w:rsid w:val="36176A26"/>
    <w:rsid w:val="362353CB"/>
    <w:rsid w:val="36301896"/>
    <w:rsid w:val="365D6B2F"/>
    <w:rsid w:val="36807657"/>
    <w:rsid w:val="36F6663C"/>
    <w:rsid w:val="373D358A"/>
    <w:rsid w:val="37503F9E"/>
    <w:rsid w:val="378E4AC6"/>
    <w:rsid w:val="390C61F7"/>
    <w:rsid w:val="390F7E89"/>
    <w:rsid w:val="39DD2C98"/>
    <w:rsid w:val="3A173499"/>
    <w:rsid w:val="3A184B1B"/>
    <w:rsid w:val="3A26548A"/>
    <w:rsid w:val="3A3675D0"/>
    <w:rsid w:val="3A4B2F9D"/>
    <w:rsid w:val="3B4959E5"/>
    <w:rsid w:val="3B9020B5"/>
    <w:rsid w:val="3C1B0224"/>
    <w:rsid w:val="3C5C1637"/>
    <w:rsid w:val="3CBD666B"/>
    <w:rsid w:val="3CED04E1"/>
    <w:rsid w:val="3CED228F"/>
    <w:rsid w:val="3D314871"/>
    <w:rsid w:val="3DB63F56"/>
    <w:rsid w:val="3EBA43F3"/>
    <w:rsid w:val="3EC3599D"/>
    <w:rsid w:val="3F7942AE"/>
    <w:rsid w:val="3FF683FB"/>
    <w:rsid w:val="40AF3CC5"/>
    <w:rsid w:val="410107BF"/>
    <w:rsid w:val="41270465"/>
    <w:rsid w:val="415648A7"/>
    <w:rsid w:val="429E4757"/>
    <w:rsid w:val="42C85330"/>
    <w:rsid w:val="42DD37A8"/>
    <w:rsid w:val="432D7889"/>
    <w:rsid w:val="442A222D"/>
    <w:rsid w:val="446C618F"/>
    <w:rsid w:val="44827761"/>
    <w:rsid w:val="449000D0"/>
    <w:rsid w:val="44F87A23"/>
    <w:rsid w:val="458A4B1F"/>
    <w:rsid w:val="464B69A4"/>
    <w:rsid w:val="465E7D59"/>
    <w:rsid w:val="4681606A"/>
    <w:rsid w:val="472937B3"/>
    <w:rsid w:val="474D674C"/>
    <w:rsid w:val="4A08695A"/>
    <w:rsid w:val="4A113A61"/>
    <w:rsid w:val="4B320E61"/>
    <w:rsid w:val="4C871DB8"/>
    <w:rsid w:val="4CDD40CE"/>
    <w:rsid w:val="4CF768BA"/>
    <w:rsid w:val="4D714816"/>
    <w:rsid w:val="4F1D07B2"/>
    <w:rsid w:val="4F8E5B53"/>
    <w:rsid w:val="4FAE3B00"/>
    <w:rsid w:val="51556929"/>
    <w:rsid w:val="517E17FD"/>
    <w:rsid w:val="521D206B"/>
    <w:rsid w:val="52491861"/>
    <w:rsid w:val="529202DB"/>
    <w:rsid w:val="52927709"/>
    <w:rsid w:val="52C3460B"/>
    <w:rsid w:val="52F32DE0"/>
    <w:rsid w:val="53807561"/>
    <w:rsid w:val="53CC09F8"/>
    <w:rsid w:val="54316AAD"/>
    <w:rsid w:val="55023DED"/>
    <w:rsid w:val="55AD03B6"/>
    <w:rsid w:val="56EE2E9D"/>
    <w:rsid w:val="573C2884"/>
    <w:rsid w:val="574B7E86"/>
    <w:rsid w:val="57776ECD"/>
    <w:rsid w:val="57A0630B"/>
    <w:rsid w:val="57EA39CA"/>
    <w:rsid w:val="585039A6"/>
    <w:rsid w:val="585F62DF"/>
    <w:rsid w:val="587A0A23"/>
    <w:rsid w:val="587B6A7C"/>
    <w:rsid w:val="58977827"/>
    <w:rsid w:val="59F57598"/>
    <w:rsid w:val="5A5D31A1"/>
    <w:rsid w:val="5AC02939"/>
    <w:rsid w:val="5B0B1E06"/>
    <w:rsid w:val="5B167A65"/>
    <w:rsid w:val="5B6F4A8B"/>
    <w:rsid w:val="5C1D00AB"/>
    <w:rsid w:val="5CAE21A4"/>
    <w:rsid w:val="5CAF2C65"/>
    <w:rsid w:val="5CF310EC"/>
    <w:rsid w:val="5D151871"/>
    <w:rsid w:val="5D5E0913"/>
    <w:rsid w:val="5DCB3ACF"/>
    <w:rsid w:val="5DCF1811"/>
    <w:rsid w:val="5DE0757A"/>
    <w:rsid w:val="5DE30E18"/>
    <w:rsid w:val="5E114BDF"/>
    <w:rsid w:val="5E47584B"/>
    <w:rsid w:val="5E4A533B"/>
    <w:rsid w:val="5E585E86"/>
    <w:rsid w:val="5EB97DCB"/>
    <w:rsid w:val="5ED74E21"/>
    <w:rsid w:val="5F1D65AC"/>
    <w:rsid w:val="5F3538F6"/>
    <w:rsid w:val="5FBF7663"/>
    <w:rsid w:val="60824919"/>
    <w:rsid w:val="610C0686"/>
    <w:rsid w:val="6114070F"/>
    <w:rsid w:val="61A60ADB"/>
    <w:rsid w:val="622D4D58"/>
    <w:rsid w:val="624F4CCE"/>
    <w:rsid w:val="62F2381A"/>
    <w:rsid w:val="62FE04A2"/>
    <w:rsid w:val="63860BC4"/>
    <w:rsid w:val="63A4104A"/>
    <w:rsid w:val="63BC45E5"/>
    <w:rsid w:val="650C6EA7"/>
    <w:rsid w:val="65436640"/>
    <w:rsid w:val="657F25CC"/>
    <w:rsid w:val="665D4746"/>
    <w:rsid w:val="666D7E19"/>
    <w:rsid w:val="66AB26EF"/>
    <w:rsid w:val="66D25ECE"/>
    <w:rsid w:val="672B4917"/>
    <w:rsid w:val="67A41618"/>
    <w:rsid w:val="685748DD"/>
    <w:rsid w:val="68D128E1"/>
    <w:rsid w:val="68E72104"/>
    <w:rsid w:val="690C3919"/>
    <w:rsid w:val="69D56401"/>
    <w:rsid w:val="6A8E65B0"/>
    <w:rsid w:val="6B1E5B86"/>
    <w:rsid w:val="6BAD2A66"/>
    <w:rsid w:val="6BAE515B"/>
    <w:rsid w:val="6BC26511"/>
    <w:rsid w:val="6BF6265F"/>
    <w:rsid w:val="6C315445"/>
    <w:rsid w:val="6C3E3329"/>
    <w:rsid w:val="6C4258A4"/>
    <w:rsid w:val="6CBE13CE"/>
    <w:rsid w:val="6CD429A0"/>
    <w:rsid w:val="6D794F7D"/>
    <w:rsid w:val="6D910891"/>
    <w:rsid w:val="6E032E11"/>
    <w:rsid w:val="6E080427"/>
    <w:rsid w:val="6E0A23F1"/>
    <w:rsid w:val="6EA65779"/>
    <w:rsid w:val="6FB11BBE"/>
    <w:rsid w:val="6FE62BA6"/>
    <w:rsid w:val="6FE6736D"/>
    <w:rsid w:val="70441BEA"/>
    <w:rsid w:val="70B328CC"/>
    <w:rsid w:val="719C7804"/>
    <w:rsid w:val="72807126"/>
    <w:rsid w:val="7285473C"/>
    <w:rsid w:val="734939BC"/>
    <w:rsid w:val="735635E4"/>
    <w:rsid w:val="747B5DF7"/>
    <w:rsid w:val="75A728D0"/>
    <w:rsid w:val="7645046A"/>
    <w:rsid w:val="764C17F9"/>
    <w:rsid w:val="76C17757"/>
    <w:rsid w:val="77F2017E"/>
    <w:rsid w:val="78632E2A"/>
    <w:rsid w:val="78EE303B"/>
    <w:rsid w:val="793D367B"/>
    <w:rsid w:val="79ED50A1"/>
    <w:rsid w:val="79FC7092"/>
    <w:rsid w:val="7B6128D5"/>
    <w:rsid w:val="7B71585E"/>
    <w:rsid w:val="7BEE6EAE"/>
    <w:rsid w:val="7C014E34"/>
    <w:rsid w:val="7C15268D"/>
    <w:rsid w:val="7D1666BD"/>
    <w:rsid w:val="7D825DBD"/>
    <w:rsid w:val="7D8F825D"/>
    <w:rsid w:val="7D957F29"/>
    <w:rsid w:val="7DA71A0B"/>
    <w:rsid w:val="7DD24CD9"/>
    <w:rsid w:val="7E5955D5"/>
    <w:rsid w:val="7F0215EE"/>
    <w:rsid w:val="7FA53D28"/>
    <w:rsid w:val="7FE17456"/>
    <w:rsid w:val="FAFCEE79"/>
    <w:rsid w:val="FBDF2C95"/>
    <w:rsid w:val="FBFD2BD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FollowedHyperlink"/>
    <w:basedOn w:val="3"/>
    <w:qFormat/>
    <w:uiPriority w:val="0"/>
    <w:rPr>
      <w:color w:val="333333"/>
      <w:u w:val="none"/>
    </w:rPr>
  </w:style>
  <w:style w:type="character" w:styleId="5">
    <w:name w:val="Hyperlink"/>
    <w:basedOn w:val="3"/>
    <w:qFormat/>
    <w:uiPriority w:val="0"/>
    <w:rPr>
      <w:color w:val="33333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1517</Words>
  <Characters>1600</Characters>
  <Lines>0</Lines>
  <Paragraphs>0</Paragraphs>
  <TotalTime>2</TotalTime>
  <ScaleCrop>false</ScaleCrop>
  <LinksUpToDate>false</LinksUpToDate>
  <CharactersWithSpaces>1621</CharactersWithSpaces>
  <Application>WWO_openplatform_20210507165418-e6971cd0a6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2023-03-17T22:50:00Z</dcterms:created>
  <dc:creator>12803</dc:creator>
  <cp:lastModifiedBy>xcfer</cp:lastModifiedBy>
  <dcterms:modified xsi:type="dcterms:W3CDTF">2023-09-15T15:30:50Z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3F713F2D647B444991345E1EFAFF14AE</vt:lpwstr>
  </property>
</Properties>
</file>